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7B20" w14:textId="231541D9" w:rsidR="00FD7528" w:rsidRDefault="00FD7528" w:rsidP="00A03B56">
      <w:pPr>
        <w:pStyle w:val="Nagwek"/>
        <w:jc w:val="both"/>
        <w:rPr>
          <w:rFonts w:ascii="Arial" w:hAnsi="Arial" w:cs="Arial"/>
          <w:color w:val="000000"/>
          <w:sz w:val="16"/>
          <w:szCs w:val="18"/>
        </w:rPr>
      </w:pPr>
    </w:p>
    <w:p w14:paraId="018BEAAB" w14:textId="77777777" w:rsidR="001543DA" w:rsidRDefault="001543DA" w:rsidP="00A03B56">
      <w:pPr>
        <w:pStyle w:val="Nagwek"/>
        <w:jc w:val="both"/>
        <w:rPr>
          <w:rFonts w:ascii="Arial" w:hAnsi="Arial" w:cs="Arial"/>
          <w:color w:val="000000"/>
          <w:sz w:val="16"/>
          <w:szCs w:val="18"/>
        </w:rPr>
      </w:pPr>
    </w:p>
    <w:p w14:paraId="0BD0ADE8" w14:textId="70E68C39" w:rsidR="002472BC" w:rsidRDefault="002472BC" w:rsidP="00A03B5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eastAsiaTheme="minorHAnsi" w:hAnsi="Calibri,Bold" w:cs="Calibri,Bold"/>
          <w:b/>
          <w:bCs/>
          <w:color w:val="008966"/>
          <w:sz w:val="24"/>
          <w:szCs w:val="24"/>
        </w:rPr>
      </w:pPr>
      <w:r>
        <w:rPr>
          <w:rFonts w:ascii="Calibri,Bold" w:eastAsiaTheme="minorHAnsi" w:hAnsi="Calibri,Bold" w:cs="Calibri,Bold"/>
          <w:b/>
          <w:bCs/>
          <w:color w:val="008966"/>
          <w:sz w:val="24"/>
          <w:szCs w:val="24"/>
        </w:rPr>
        <w:t>KLAUZULA INFORMACYJNA BIURA INFORMACJI KREDYTOWEJ</w:t>
      </w:r>
    </w:p>
    <w:p w14:paraId="579E4FC2" w14:textId="77777777" w:rsidR="00A03B56" w:rsidRDefault="00A03B56" w:rsidP="00A03B5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eastAsiaTheme="minorHAnsi" w:hAnsi="Calibri,Bold" w:cs="Calibri,Bold"/>
          <w:b/>
          <w:bCs/>
          <w:color w:val="008966"/>
          <w:sz w:val="24"/>
          <w:szCs w:val="24"/>
        </w:rPr>
      </w:pPr>
    </w:p>
    <w:p w14:paraId="1BC079DB" w14:textId="1EB45A9D" w:rsidR="00B32674" w:rsidRPr="00B32674" w:rsidRDefault="00B32674" w:rsidP="00B32674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B32674">
        <w:rPr>
          <w:rFonts w:ascii="Arial" w:hAnsi="Arial" w:cs="Arial"/>
          <w:sz w:val="16"/>
          <w:szCs w:val="16"/>
        </w:rPr>
        <w:t xml:space="preserve">Pani/Pana dane osobowe mogą być przekazywane przez Bank Spółdzielczy w </w:t>
      </w:r>
      <w:r w:rsidR="00FD775F">
        <w:rPr>
          <w:rFonts w:ascii="Arial" w:hAnsi="Arial" w:cs="Arial"/>
          <w:sz w:val="16"/>
          <w:szCs w:val="18"/>
        </w:rPr>
        <w:t xml:space="preserve">Legionowie </w:t>
      </w:r>
      <w:r w:rsidRPr="00B32674">
        <w:rPr>
          <w:rFonts w:ascii="Arial" w:hAnsi="Arial" w:cs="Arial"/>
          <w:sz w:val="16"/>
          <w:szCs w:val="16"/>
        </w:rPr>
        <w:t>(dalej „</w:t>
      </w:r>
      <w:r w:rsidRPr="00B32674">
        <w:rPr>
          <w:rFonts w:ascii="Arial" w:hAnsi="Arial" w:cs="Arial"/>
          <w:b/>
          <w:sz w:val="16"/>
          <w:szCs w:val="16"/>
        </w:rPr>
        <w:t>Bank</w:t>
      </w:r>
      <w:r w:rsidRPr="00B32674">
        <w:rPr>
          <w:rFonts w:ascii="Arial" w:hAnsi="Arial" w:cs="Arial"/>
          <w:sz w:val="16"/>
          <w:szCs w:val="16"/>
        </w:rPr>
        <w:t>”) na podstawie art.105 ust. 1 pkt 1c oraz art. 105 ust. 4 ustawy z dnia 29 sierpnia 1997 r. ustawy Prawo bankowe (dalej „</w:t>
      </w:r>
      <w:r w:rsidRPr="00B32674">
        <w:rPr>
          <w:rFonts w:ascii="Arial" w:hAnsi="Arial" w:cs="Arial"/>
          <w:b/>
          <w:sz w:val="16"/>
          <w:szCs w:val="16"/>
        </w:rPr>
        <w:t>Prawo bankowe</w:t>
      </w:r>
      <w:r w:rsidRPr="00B32674">
        <w:rPr>
          <w:rFonts w:ascii="Arial" w:hAnsi="Arial" w:cs="Arial"/>
          <w:sz w:val="16"/>
          <w:szCs w:val="16"/>
        </w:rPr>
        <w:t>”) – do Biura Informacji Kredytowej S.A. z siedzibą w Warszawie, ul. Zygmunta Modzelewskiego 77 A, 02-679 Warszawa (dalej „</w:t>
      </w:r>
      <w:r w:rsidRPr="00B32674">
        <w:rPr>
          <w:rFonts w:ascii="Arial" w:hAnsi="Arial" w:cs="Arial"/>
          <w:b/>
          <w:sz w:val="16"/>
          <w:szCs w:val="16"/>
        </w:rPr>
        <w:t>BIK</w:t>
      </w:r>
      <w:r w:rsidRPr="00B32674">
        <w:rPr>
          <w:rFonts w:ascii="Arial" w:hAnsi="Arial" w:cs="Arial"/>
          <w:sz w:val="16"/>
          <w:szCs w:val="16"/>
        </w:rPr>
        <w:t xml:space="preserve">”). W związku z powyższym </w:t>
      </w:r>
      <w:r w:rsidRPr="00B32674">
        <w:rPr>
          <w:rFonts w:ascii="Arial" w:hAnsi="Arial" w:cs="Arial"/>
          <w:b/>
          <w:sz w:val="16"/>
          <w:szCs w:val="16"/>
        </w:rPr>
        <w:t>BIK</w:t>
      </w:r>
      <w:r w:rsidRPr="00B32674">
        <w:rPr>
          <w:rFonts w:ascii="Arial" w:hAnsi="Arial" w:cs="Arial"/>
          <w:sz w:val="16"/>
          <w:szCs w:val="16"/>
        </w:rPr>
        <w:t xml:space="preserve"> – obok </w:t>
      </w:r>
      <w:r w:rsidRPr="00B32674">
        <w:rPr>
          <w:rFonts w:ascii="Arial" w:hAnsi="Arial" w:cs="Arial"/>
          <w:b/>
          <w:sz w:val="16"/>
          <w:szCs w:val="16"/>
        </w:rPr>
        <w:t>Banku</w:t>
      </w:r>
      <w:r w:rsidRPr="00B32674">
        <w:rPr>
          <w:rFonts w:ascii="Arial" w:hAnsi="Arial" w:cs="Arial"/>
          <w:sz w:val="16"/>
          <w:szCs w:val="16"/>
        </w:rPr>
        <w:t xml:space="preserve"> – staje się administratorem Pani/Pana danych osobowych. Poniżej przedstawiamy podstawowe informacje dotyczące przetwarzania Pani/Pana danych osobowych przez </w:t>
      </w:r>
      <w:r w:rsidRPr="00B32674">
        <w:rPr>
          <w:rFonts w:ascii="Arial" w:hAnsi="Arial" w:cs="Arial"/>
          <w:b/>
          <w:sz w:val="16"/>
          <w:szCs w:val="16"/>
        </w:rPr>
        <w:t>BIK</w:t>
      </w:r>
      <w:r w:rsidRPr="00B32674">
        <w:rPr>
          <w:rFonts w:ascii="Arial" w:hAnsi="Arial" w:cs="Arial"/>
          <w:sz w:val="16"/>
          <w:szCs w:val="16"/>
        </w:rPr>
        <w:t>.</w:t>
      </w:r>
    </w:p>
    <w:p w14:paraId="420F8426" w14:textId="77777777" w:rsidR="00B32674" w:rsidRPr="00B32674" w:rsidRDefault="00B32674" w:rsidP="00B32674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B32674" w:rsidRPr="00B32674" w14:paraId="767AF125" w14:textId="77777777" w:rsidTr="00B326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8B7B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Administrator danych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CDA2F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Administratorem Pani/Pana danych osobowych jest Biuro Informacji Kredytowej S.A. z siedzibą w Warszawie, ul. Zygmunta Modzelewskiego 77A, 02-679 Warszawa (BIK)</w:t>
            </w:r>
          </w:p>
        </w:tc>
      </w:tr>
      <w:tr w:rsidR="00B32674" w:rsidRPr="00B32674" w14:paraId="3090F025" w14:textId="77777777" w:rsidTr="00B326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21DC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Dane kontaktowe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EAC9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Z </w:t>
            </w:r>
            <w:r w:rsidRPr="00B32674">
              <w:rPr>
                <w:rFonts w:ascii="Arial" w:hAnsi="Arial" w:cs="Arial"/>
                <w:b/>
                <w:sz w:val="16"/>
                <w:szCs w:val="16"/>
              </w:rPr>
              <w:t>BIK</w:t>
            </w: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można się skontaktować poprzez adres e-mail: </w:t>
            </w:r>
            <w:hyperlink r:id="rId8" w:history="1">
              <w:r w:rsidRPr="00B32674">
                <w:rPr>
                  <w:rFonts w:ascii="Arial" w:hAnsi="Arial" w:cs="Arial"/>
                  <w:color w:val="E36C0A"/>
                  <w:sz w:val="16"/>
                  <w:szCs w:val="16"/>
                  <w:lang w:eastAsia="ar-SA"/>
                </w:rPr>
                <w:t>kontakt@bik.pl</w:t>
              </w:r>
            </w:hyperlink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, lub pisemnie (</w:t>
            </w:r>
            <w:bookmarkStart w:id="0" w:name="_Hlk142479310"/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Centrum Obsługi Klienta BIK </w:t>
            </w:r>
            <w:bookmarkEnd w:id="0"/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S.A., 02-679 Warszawa, ul. Zygmunta Modzelewskiego 77A). W </w:t>
            </w:r>
            <w:r w:rsidRPr="00B32674">
              <w:rPr>
                <w:rFonts w:ascii="Arial" w:hAnsi="Arial" w:cs="Arial"/>
                <w:b/>
                <w:sz w:val="16"/>
                <w:szCs w:val="16"/>
              </w:rPr>
              <w:t>BIK</w:t>
            </w: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wyznaczony jest inspektor ochrony danych, z którym można się skontaktować poprzez e-mail: </w:t>
            </w:r>
            <w:r w:rsidRPr="00B32674">
              <w:rPr>
                <w:rFonts w:ascii="Arial" w:hAnsi="Arial" w:cs="Arial"/>
                <w:color w:val="E36C0A"/>
                <w:sz w:val="16"/>
                <w:szCs w:val="16"/>
                <w:lang w:eastAsia="ar-SA"/>
              </w:rPr>
              <w:t>iod@bik.pl</w:t>
            </w: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lub pisemnie (Inspektor Ochrony Danych, Biuro Informacji Kredytowej S.A., 02-679 Warszawa, ul. Zygmunta Modzelewskiego 77A). Z inspektorem ochrony danych można się kontaktować we wszystkich sprawach dotyczących przetwarzania danych osobowych oraz korzystania z praw związanych z przetwarzaniem danych.</w:t>
            </w:r>
          </w:p>
        </w:tc>
      </w:tr>
      <w:tr w:rsidR="00B32674" w:rsidRPr="00B32674" w14:paraId="4F7D0D73" w14:textId="77777777" w:rsidTr="00B326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98E16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1" w:name="_Hlk142479397"/>
            <w:r w:rsidRPr="00B3267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Cele przetwarzania oraz podstawa prawna przetwarzania</w:t>
            </w:r>
            <w:bookmarkEnd w:id="1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CC93E" w14:textId="77777777" w:rsidR="00B32674" w:rsidRPr="00B32674" w:rsidRDefault="00B32674" w:rsidP="00FA1BCF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Pani/Pana dane będą przetwarzane przez </w:t>
            </w:r>
            <w:r w:rsidRPr="00B32674">
              <w:rPr>
                <w:rFonts w:ascii="Arial" w:hAnsi="Arial" w:cs="Arial"/>
                <w:b/>
                <w:sz w:val="16"/>
                <w:szCs w:val="16"/>
              </w:rPr>
              <w:t>BIK</w:t>
            </w: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w celach:</w:t>
            </w:r>
          </w:p>
          <w:p w14:paraId="48B134E7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ind w:left="425" w:hanging="284"/>
              <w:jc w:val="both"/>
              <w:rPr>
                <w:rFonts w:eastAsia="Times New Roman" w:cs="Arial"/>
                <w:sz w:val="16"/>
                <w:szCs w:val="16"/>
                <w:lang w:eastAsia="ar-SA"/>
              </w:rPr>
            </w:pPr>
            <w:bookmarkStart w:id="2" w:name="_Hlk142479426"/>
            <w:r w:rsidRPr="00B32674">
              <w:rPr>
                <w:rFonts w:eastAsia="Times New Roman" w:cs="Arial"/>
                <w:sz w:val="16"/>
                <w:szCs w:val="16"/>
                <w:lang w:eastAsia="ar-SA"/>
              </w:rPr>
              <w:t>wykonywania czynności bankowych</w:t>
            </w:r>
            <w:bookmarkEnd w:id="2"/>
            <w:r w:rsidRPr="00B32674">
              <w:rPr>
                <w:rFonts w:eastAsia="Times New Roman" w:cs="Arial"/>
                <w:sz w:val="16"/>
                <w:szCs w:val="16"/>
                <w:lang w:eastAsia="ar-SA"/>
              </w:rPr>
              <w:t>, w szczególności oceny zdolności kredytowej i analizy ryzyka kredytowego, w tym z wykorzystaniem profilowania – podstawą prawną przetwarzania danych osobowych są przepisy Prawa bankowego</w:t>
            </w:r>
            <w:r w:rsidRPr="00B32674">
              <w:rPr>
                <w:rFonts w:eastAsia="Times New Roman" w:cs="Arial"/>
                <w:sz w:val="16"/>
                <w:szCs w:val="16"/>
                <w:lang w:eastAsia="pl-PL"/>
              </w:rPr>
              <w:t>;</w:t>
            </w:r>
          </w:p>
          <w:p w14:paraId="5147528A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ind w:left="425" w:hanging="284"/>
              <w:jc w:val="both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B32674">
              <w:rPr>
                <w:rFonts w:eastAsia="Times New Roman" w:cs="Arial"/>
                <w:sz w:val="16"/>
                <w:szCs w:val="16"/>
                <w:lang w:eastAsia="ar-SA"/>
              </w:rPr>
              <w:t xml:space="preserve">statystycznych i analiz, których wynikiem nie są dane osobowe i wynik ten nie służy za podstawę podejmowania decyzji dotyczących konkretnych osób fizycznych – podstawą prawną przetwarzania danych osobowych </w:t>
            </w:r>
            <w:r w:rsidRPr="00B32674">
              <w:rPr>
                <w:rFonts w:cs="Arial"/>
                <w:sz w:val="16"/>
                <w:szCs w:val="16"/>
              </w:rPr>
              <w:t>jest prawnie uzasadniony interes administratora danych wynikający z przepisów Prawa bankowego;</w:t>
            </w:r>
          </w:p>
          <w:p w14:paraId="3836630E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ind w:left="425" w:hanging="284"/>
              <w:jc w:val="both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B32674">
              <w:rPr>
                <w:rFonts w:eastAsia="Times New Roman" w:cs="Arial"/>
                <w:sz w:val="16"/>
                <w:szCs w:val="16"/>
                <w:lang w:eastAsia="ar-SA"/>
              </w:rPr>
              <w:t>w celu stosowania metod wewnętrznych oraz innych metod i modeli, o których mowa w art. 105a ust. 4 Prawa bankowego – podstawą przetwarzania danych osobowych jest przepis Prawa bankowego;</w:t>
            </w:r>
          </w:p>
          <w:p w14:paraId="1982F1A5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ind w:left="425" w:hanging="284"/>
              <w:jc w:val="both"/>
              <w:rPr>
                <w:rFonts w:cs="Arial"/>
                <w:sz w:val="16"/>
                <w:szCs w:val="16"/>
                <w:lang w:eastAsia="ar-SA"/>
              </w:rPr>
            </w:pPr>
            <w:r w:rsidRPr="00B32674">
              <w:rPr>
                <w:rFonts w:eastAsia="Times New Roman" w:cs="Arial"/>
                <w:sz w:val="16"/>
                <w:szCs w:val="16"/>
                <w:lang w:eastAsia="ar-SA"/>
              </w:rPr>
              <w:t>w celu rozpatrywania Pani/Pana potencjalnych reklamacji i zgłoszonych roszczeń – podstawą prawną przetwarzania danych osobowych jest prawnie uzasadniony interes administratora danych, polegający na</w:t>
            </w:r>
            <w:r w:rsidRPr="00B32674">
              <w:rPr>
                <w:rFonts w:cs="Arial"/>
                <w:sz w:val="16"/>
                <w:szCs w:val="16"/>
                <w:lang w:eastAsia="ar-SA"/>
              </w:rPr>
              <w:t xml:space="preserve"> </w:t>
            </w:r>
            <w:r w:rsidRPr="00B32674">
              <w:rPr>
                <w:rFonts w:eastAsia="Times New Roman" w:cs="Arial"/>
                <w:sz w:val="16"/>
                <w:szCs w:val="16"/>
                <w:lang w:eastAsia="ar-SA"/>
              </w:rPr>
              <w:t>rozpatrzeniu zgłoszenia będącego przedmiotem reklamacji oraz obrony przez potencjalnymi roszczeniami.</w:t>
            </w:r>
          </w:p>
        </w:tc>
      </w:tr>
      <w:tr w:rsidR="00B32674" w:rsidRPr="00B32674" w14:paraId="42854FBA" w14:textId="77777777" w:rsidTr="00B326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BB3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3" w:name="_Hlk142479450"/>
            <w:r w:rsidRPr="00B3267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Kategorie przetwarzanych danych</w:t>
            </w:r>
            <w:bookmarkEnd w:id="3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3A1D" w14:textId="77777777" w:rsidR="00B32674" w:rsidRPr="00B32674" w:rsidRDefault="00B32674" w:rsidP="00FA1BCF">
            <w:pPr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b/>
                <w:sz w:val="16"/>
                <w:szCs w:val="16"/>
              </w:rPr>
              <w:t>BIK</w:t>
            </w: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przetwarza Pani/Pana dane osobowe w zakresie:</w:t>
            </w:r>
          </w:p>
          <w:p w14:paraId="372A4B32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ind w:left="571" w:hanging="425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ar-SA"/>
              </w:rPr>
            </w:pPr>
            <w:r w:rsidRPr="00B32674">
              <w:rPr>
                <w:rFonts w:cs="Arial"/>
                <w:sz w:val="16"/>
                <w:szCs w:val="16"/>
              </w:rPr>
              <w:t>dane identyfikujące osobę: PESEL/NIP, imię, nazwisko, dane dotyczące dokumentów tożsamości, nazwisko rodowe, nazwisko panieńskie matki, imię ojca, imię matki, data urodzenia, miejsce urodzenia, obywatelstwo, płeć;</w:t>
            </w:r>
          </w:p>
          <w:p w14:paraId="6C937CC7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ind w:left="571" w:hanging="425"/>
              <w:jc w:val="both"/>
              <w:textAlignment w:val="baseline"/>
              <w:rPr>
                <w:rFonts w:cs="Arial"/>
                <w:sz w:val="16"/>
                <w:szCs w:val="16"/>
              </w:rPr>
            </w:pPr>
            <w:r w:rsidRPr="00B32674">
              <w:rPr>
                <w:rFonts w:cs="Arial"/>
                <w:sz w:val="16"/>
                <w:szCs w:val="16"/>
              </w:rPr>
              <w:t>dane adresowe i teleadresowe,</w:t>
            </w:r>
          </w:p>
          <w:p w14:paraId="7126C04C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suppressAutoHyphens/>
              <w:autoSpaceDN w:val="0"/>
              <w:ind w:left="571" w:hanging="425"/>
              <w:jc w:val="both"/>
              <w:textAlignment w:val="baseline"/>
              <w:rPr>
                <w:rFonts w:cs="Arial"/>
                <w:sz w:val="16"/>
                <w:szCs w:val="16"/>
              </w:rPr>
            </w:pPr>
            <w:r w:rsidRPr="00B32674">
              <w:rPr>
                <w:rFonts w:cs="Arial"/>
                <w:sz w:val="16"/>
                <w:szCs w:val="16"/>
              </w:rPr>
              <w:t xml:space="preserve">dane </w:t>
            </w:r>
            <w:proofErr w:type="spellStart"/>
            <w:r w:rsidRPr="00B32674">
              <w:rPr>
                <w:rFonts w:cs="Arial"/>
                <w:sz w:val="16"/>
                <w:szCs w:val="16"/>
              </w:rPr>
              <w:t>socjo</w:t>
            </w:r>
            <w:proofErr w:type="spellEnd"/>
            <w:r w:rsidRPr="00B32674">
              <w:rPr>
                <w:rFonts w:cs="Arial"/>
                <w:sz w:val="16"/>
                <w:szCs w:val="16"/>
              </w:rPr>
              <w:t xml:space="preserve">-demograficzne: informacje o zatrudnieniu lub prowadzonej działalności gospodarczej, wykształcenie, dochody i wydatki, stan cywilny, </w:t>
            </w:r>
            <w:r w:rsidRPr="00B32674">
              <w:rPr>
                <w:rFonts w:cs="Arial"/>
                <w:color w:val="333333"/>
                <w:sz w:val="16"/>
                <w:szCs w:val="16"/>
                <w:shd w:val="clear" w:color="auto" w:fill="FFFFFF"/>
              </w:rPr>
              <w:t>liczba osób w gospodarstwie domowym, ustrój majątkowy małżonków;</w:t>
            </w:r>
          </w:p>
          <w:p w14:paraId="76AC13ED" w14:textId="77777777" w:rsidR="00B32674" w:rsidRPr="00B32674" w:rsidRDefault="00B32674" w:rsidP="00B32674">
            <w:pPr>
              <w:numPr>
                <w:ilvl w:val="0"/>
                <w:numId w:val="20"/>
              </w:numPr>
              <w:spacing w:after="0" w:line="240" w:lineRule="auto"/>
              <w:ind w:left="571" w:hanging="425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2674">
              <w:rPr>
                <w:rFonts w:ascii="Arial" w:hAnsi="Arial" w:cs="Arial"/>
                <w:sz w:val="16"/>
                <w:szCs w:val="16"/>
              </w:rPr>
              <w:t xml:space="preserve">dane dotyczące zobowiązania: </w:t>
            </w:r>
            <w:r w:rsidRPr="00B32674">
              <w:rPr>
                <w:rFonts w:ascii="Arial" w:hAnsi="Arial" w:cs="Arial"/>
                <w:color w:val="333333"/>
                <w:sz w:val="16"/>
                <w:szCs w:val="16"/>
              </w:rPr>
              <w:t xml:space="preserve">źródło zobowiązania, kwota i waluta, numer i stan rachunku, data powstania zobowiązania, warunki spłaty zobowiązania, cel finansowania, zabezpieczenie prawne i przedmiot zabezpieczenia, przebieg realizacji zobowiązania, stan zadłużenia z tytułu zobowiązania na dzień wygaśnięcia zobowiązania, data wygaśnięcia zobowiązania, przyczyny niewykonania zobowiązania lub dopuszczenia się zwłoki, o której mowa w </w:t>
            </w:r>
            <w:r w:rsidRPr="00B32674">
              <w:rPr>
                <w:rFonts w:ascii="Arial" w:hAnsi="Arial" w:cs="Arial"/>
                <w:sz w:val="16"/>
                <w:szCs w:val="16"/>
              </w:rPr>
              <w:t>art. 105a ust. 3</w:t>
            </w:r>
            <w:r w:rsidRPr="00B32674">
              <w:rPr>
                <w:rFonts w:ascii="Arial" w:hAnsi="Arial" w:cs="Arial"/>
                <w:color w:val="333333"/>
                <w:sz w:val="16"/>
                <w:szCs w:val="16"/>
              </w:rPr>
              <w:t xml:space="preserve"> ustawy Prawo bankowe, przyczyny wygaśnięcia zobowiązania, informacja o upadłości konsumenckiej, decyzja kredytowa i dane dotyczące wniosków kredytowych.</w:t>
            </w:r>
          </w:p>
        </w:tc>
      </w:tr>
      <w:tr w:rsidR="00B32674" w:rsidRPr="00B32674" w14:paraId="61A39BF9" w14:textId="77777777" w:rsidTr="00B326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6A51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 xml:space="preserve">Źródło pochodzenia danych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4D71" w14:textId="77777777" w:rsidR="00B32674" w:rsidRPr="00B32674" w:rsidRDefault="00B32674" w:rsidP="00FA1BCF">
            <w:pPr>
              <w:suppressAutoHyphens/>
              <w:autoSpaceDN w:val="0"/>
              <w:spacing w:after="120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BIK pozyskuje Pani/Pana dane osobowe z Banku.</w:t>
            </w:r>
          </w:p>
          <w:p w14:paraId="1BA69B61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Informacja o upadłości konsumenckiej przetwarzana w BIK może pochodzić z Banku oraz z Monitora Sądowego i Gospodarczego.</w:t>
            </w:r>
          </w:p>
        </w:tc>
      </w:tr>
      <w:tr w:rsidR="00B32674" w:rsidRPr="00B32674" w14:paraId="1F41B0BC" w14:textId="77777777" w:rsidTr="00B326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8116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bookmarkStart w:id="4" w:name="_Hlk142479544"/>
            <w:r w:rsidRPr="00B3267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Okres przez który dane będą przetwarzane</w:t>
            </w:r>
            <w:bookmarkEnd w:id="4"/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1CD6" w14:textId="77777777" w:rsidR="00B32674" w:rsidRPr="00B32674" w:rsidRDefault="00B32674" w:rsidP="00FA1BCF">
            <w:pPr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Pani/Pana dane osobowe będą przetwarzane przez </w:t>
            </w:r>
            <w:r w:rsidRPr="00B32674">
              <w:rPr>
                <w:rFonts w:ascii="Arial" w:hAnsi="Arial" w:cs="Arial"/>
                <w:b/>
                <w:sz w:val="16"/>
                <w:szCs w:val="16"/>
              </w:rPr>
              <w:t>BIK</w:t>
            </w: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:</w:t>
            </w:r>
          </w:p>
          <w:p w14:paraId="0B0AEA2E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ind w:left="571" w:hanging="425"/>
              <w:jc w:val="both"/>
              <w:rPr>
                <w:rFonts w:cs="Arial"/>
                <w:sz w:val="16"/>
                <w:szCs w:val="16"/>
                <w:lang w:eastAsia="ar-SA"/>
              </w:rPr>
            </w:pPr>
            <w:r w:rsidRPr="00B32674">
              <w:rPr>
                <w:rFonts w:cs="Arial"/>
                <w:sz w:val="16"/>
                <w:szCs w:val="16"/>
                <w:lang w:eastAsia="ar-SA"/>
              </w:rPr>
              <w:t xml:space="preserve">dla celów wykonywania czynności bankowych, w szczególności dokonywania oceny zdolności kredytowej i analizy ryzyka kredytowego – przez okres trwania Pani/Pana zobowiązania, a po jego wygaśnięciu – tylko w przypadku wyrażenia przez Panią/Pana zgody lub spełnienia warunków, o których mowa w art. 105a ust. 3 Prawa bankowego, przy czy w żadnym wypadku nie dłużej niż przez okres 5 lat po wygaśnięciu zobowiązania, </w:t>
            </w:r>
            <w:r w:rsidRPr="00B32674">
              <w:rPr>
                <w:rFonts w:cs="Arial"/>
                <w:sz w:val="16"/>
                <w:szCs w:val="16"/>
              </w:rPr>
              <w:t>a w zakresie danych wynikających z zapytania przekazanego do BIK – przez okres nie dłuższy niż 5 lat od jego przekazania, z tym, że dane te będą udostępnianie przez okres nie dłuższy niż 12 miesięcy od ich przekazania</w:t>
            </w:r>
            <w:r w:rsidRPr="00B32674">
              <w:rPr>
                <w:rFonts w:cs="Arial"/>
                <w:sz w:val="16"/>
                <w:szCs w:val="16"/>
                <w:lang w:eastAsia="ar-SA"/>
              </w:rPr>
              <w:t>;</w:t>
            </w:r>
          </w:p>
          <w:p w14:paraId="3CC68F2C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ind w:left="571" w:hanging="425"/>
              <w:jc w:val="both"/>
              <w:rPr>
                <w:rFonts w:cs="Arial"/>
                <w:sz w:val="16"/>
                <w:szCs w:val="16"/>
                <w:lang w:eastAsia="ar-SA"/>
              </w:rPr>
            </w:pPr>
            <w:r w:rsidRPr="00B32674">
              <w:rPr>
                <w:rFonts w:cs="Arial"/>
                <w:sz w:val="16"/>
                <w:szCs w:val="16"/>
                <w:lang w:eastAsia="ar-SA"/>
              </w:rPr>
              <w:t>dla celów stosowania metod wewnętrznych oraz innych metod i modeli, o których mowa w art. 105a ust. 4 Prawa bankowego – przez okres trwania zobowiązania oraz przez okres 12 lat od wygaśnięcia zobowiązania;</w:t>
            </w:r>
          </w:p>
          <w:p w14:paraId="286F681F" w14:textId="77777777" w:rsidR="00B32674" w:rsidRPr="00B32674" w:rsidRDefault="00B32674" w:rsidP="00B32674">
            <w:pPr>
              <w:pStyle w:val="Akapitzlist"/>
              <w:numPr>
                <w:ilvl w:val="0"/>
                <w:numId w:val="20"/>
              </w:numPr>
              <w:ind w:left="571" w:hanging="425"/>
              <w:jc w:val="both"/>
              <w:rPr>
                <w:rFonts w:cs="Arial"/>
                <w:sz w:val="16"/>
                <w:szCs w:val="16"/>
                <w:lang w:eastAsia="ar-SA"/>
              </w:rPr>
            </w:pPr>
            <w:bookmarkStart w:id="5" w:name="_Hlk142480038"/>
            <w:r w:rsidRPr="00B32674">
              <w:rPr>
                <w:rFonts w:cs="Arial"/>
                <w:sz w:val="16"/>
                <w:szCs w:val="16"/>
                <w:lang w:eastAsia="ar-SA"/>
              </w:rPr>
              <w:t xml:space="preserve">dla celów statystycznych i analiz </w:t>
            </w:r>
            <w:bookmarkEnd w:id="5"/>
            <w:r w:rsidRPr="00B32674">
              <w:rPr>
                <w:rFonts w:cs="Arial"/>
                <w:sz w:val="16"/>
                <w:szCs w:val="16"/>
                <w:lang w:eastAsia="ar-SA"/>
              </w:rPr>
              <w:t>– przez okres trwania zobowiązania oraz przez okres 12 lat od wygaśnięcia zobowiązania, a w zakresie danych wynikających z zapytanie przekazanego do BIK – przez okres nie dłuższy niż 10 lat od jego przekazania</w:t>
            </w:r>
            <w:r w:rsidRPr="00B32674" w:rsidDel="005F1309">
              <w:rPr>
                <w:rFonts w:cs="Arial"/>
                <w:sz w:val="16"/>
                <w:szCs w:val="16"/>
                <w:lang w:eastAsia="ar-SA"/>
              </w:rPr>
              <w:t xml:space="preserve"> </w:t>
            </w:r>
            <w:r w:rsidRPr="00B32674">
              <w:rPr>
                <w:rFonts w:cs="Arial"/>
                <w:sz w:val="16"/>
                <w:szCs w:val="16"/>
                <w:lang w:eastAsia="ar-SA"/>
              </w:rPr>
              <w:t>;</w:t>
            </w:r>
          </w:p>
          <w:p w14:paraId="54FA3EA2" w14:textId="77777777" w:rsidR="00B32674" w:rsidRPr="00B32674" w:rsidRDefault="00B32674" w:rsidP="00B32674">
            <w:pPr>
              <w:numPr>
                <w:ilvl w:val="0"/>
                <w:numId w:val="20"/>
              </w:numPr>
              <w:spacing w:after="0" w:line="240" w:lineRule="auto"/>
              <w:ind w:left="571" w:hanging="425"/>
              <w:contextualSpacing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dla celów rozpatrywania Pani/Pana reklamacji i zgłoszonych roszczeń – do momentu przedawnienia Pani/Pana potencjalnych roszczeń wynikających z umowy lub z innego tytułu.</w:t>
            </w:r>
          </w:p>
        </w:tc>
      </w:tr>
      <w:tr w:rsidR="00B32674" w:rsidRPr="00B32674" w14:paraId="2684C03B" w14:textId="77777777" w:rsidTr="00B326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D4A5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lastRenderedPageBreak/>
              <w:t>Odbiorcy danych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8832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Pani/Pana dane osobowe mogą być udostępniane przez </w:t>
            </w:r>
            <w:r w:rsidRPr="00B32674">
              <w:rPr>
                <w:rFonts w:ascii="Arial" w:hAnsi="Arial" w:cs="Arial"/>
                <w:b/>
                <w:sz w:val="16"/>
                <w:szCs w:val="16"/>
              </w:rPr>
              <w:t>BIK</w:t>
            </w: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 xml:space="preserve"> podmiotom uprawnionym do ich otrzymania na mocy obowiązujących przepisów prawa, w tym podmiotom wymienionym w art. 105 ust. 4 i 4d Prawa bankowego, a także do rejestru PESEL lub Rejestru Dowodów Osobistych w celu weryfikacji poprawności przekazanych danych osobowych, oraz innym podmiotom współpracującym z </w:t>
            </w:r>
            <w:r w:rsidRPr="00B32674">
              <w:rPr>
                <w:rFonts w:ascii="Arial" w:hAnsi="Arial" w:cs="Arial"/>
                <w:b/>
                <w:sz w:val="16"/>
                <w:szCs w:val="16"/>
              </w:rPr>
              <w:t>BIK</w:t>
            </w: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, o ile taki podmiot dysponuje Pani/Pana zgodą. Pani/Pana dane osobowe mogą być także przekazywane podmiotom przetwarzającym dane w imieniu BIK, takim jak dostawcy usług informatycznych – przy czym takie podmioty przetwarzają dane jako podwykonawcy, na podstawie umowy z BIK i wyłącznie zgodnie z poleceniami BIK.</w:t>
            </w:r>
          </w:p>
        </w:tc>
      </w:tr>
      <w:tr w:rsidR="00B32674" w:rsidRPr="00B32674" w14:paraId="488DD8CE" w14:textId="77777777" w:rsidTr="00B3267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57A6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Prawa osoby, której dane dotyczą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4855" w14:textId="77777777" w:rsidR="00B32674" w:rsidRPr="00B32674" w:rsidRDefault="00B32674" w:rsidP="00FA1BCF">
            <w:pPr>
              <w:tabs>
                <w:tab w:val="left" w:pos="2410"/>
              </w:tabs>
              <w:suppressAutoHyphens/>
              <w:autoSpaceDN w:val="0"/>
              <w:spacing w:after="120" w:line="23" w:lineRule="atLeast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Przysługuje Pani/Panu prawo dostępu do Pani/Pana danych oraz prawo żądania ich sprostowania, usunięcia, ograniczenia przetwarzania. W zakresie, w 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37DB43B" w14:textId="77777777" w:rsidR="00B32674" w:rsidRPr="00B32674" w:rsidRDefault="00B32674" w:rsidP="00FA1BCF">
            <w:pPr>
              <w:tabs>
                <w:tab w:val="left" w:pos="2410"/>
              </w:tabs>
              <w:suppressAutoHyphens/>
              <w:autoSpaceDN w:val="0"/>
              <w:spacing w:after="120" w:line="23" w:lineRule="atLeast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wycofaniem.</w:t>
            </w:r>
          </w:p>
          <w:p w14:paraId="2877FC9F" w14:textId="77777777" w:rsidR="00B32674" w:rsidRPr="00B32674" w:rsidRDefault="00B32674" w:rsidP="00FA1BCF">
            <w:pPr>
              <w:tabs>
                <w:tab w:val="left" w:pos="2410"/>
              </w:tabs>
              <w:suppressAutoHyphens/>
              <w:autoSpaceDN w:val="0"/>
              <w:spacing w:after="120" w:line="23" w:lineRule="atLeast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W zakresie, w jakim Pani/Pana dane są przetwarzane w celu zawarcia i wykonywania umowy lub przetwarzane na podstawie zgody – przysługuje Pani/Panu także prawo do przenoszenia danych osobowych, tj. do otrzymania od administratora Pani/Pana danych osobowych, w ustrukturyzowanym, powszechnie używanym formacie nadającym się do odczytu maszynowego. Może Pani/Pan przesłać te dane innemu administratorowi danych. Uprawnienie do przenoszenia danych nie dotyczy danych, które stanowią tajemnicę przedsiębiorstwa.</w:t>
            </w:r>
          </w:p>
          <w:p w14:paraId="1E233AA7" w14:textId="77777777" w:rsidR="00B32674" w:rsidRPr="00B32674" w:rsidRDefault="00B32674" w:rsidP="00FA1BCF">
            <w:pPr>
              <w:suppressAutoHyphens/>
              <w:autoSpaceDN w:val="0"/>
              <w:textAlignment w:val="baseline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B32674">
              <w:rPr>
                <w:rFonts w:ascii="Arial" w:hAnsi="Arial" w:cs="Arial"/>
                <w:sz w:val="16"/>
                <w:szCs w:val="16"/>
                <w:lang w:eastAsia="ar-SA"/>
              </w:rPr>
              <w:t>Przysługuje Pani/Panu również prawo wniesienia skargi do organu nadzorczego zajmującego się ochroną danych osobowych.</w:t>
            </w:r>
          </w:p>
        </w:tc>
      </w:tr>
    </w:tbl>
    <w:p w14:paraId="04C34343" w14:textId="77777777" w:rsidR="00B32674" w:rsidRPr="00B32674" w:rsidRDefault="00B32674" w:rsidP="00B32674">
      <w:pPr>
        <w:rPr>
          <w:rFonts w:ascii="Arial" w:hAnsi="Arial" w:cs="Arial"/>
          <w:sz w:val="16"/>
          <w:szCs w:val="16"/>
        </w:rPr>
      </w:pPr>
    </w:p>
    <w:p w14:paraId="51F80E72" w14:textId="77777777" w:rsidR="00B32674" w:rsidRPr="00B32674" w:rsidRDefault="00B32674" w:rsidP="00B32674">
      <w:pPr>
        <w:pStyle w:val="Tekstpodstawowywcity2"/>
        <w:ind w:left="284" w:firstLine="0"/>
        <w:rPr>
          <w:rFonts w:ascii="Arial" w:hAnsi="Arial" w:cs="Arial"/>
          <w:b/>
          <w:sz w:val="16"/>
          <w:szCs w:val="16"/>
        </w:rPr>
      </w:pPr>
    </w:p>
    <w:p w14:paraId="0F3F5DB7" w14:textId="78FF9F7A" w:rsidR="0078536B" w:rsidRPr="003335BC" w:rsidRDefault="001543DA" w:rsidP="00A03B56">
      <w:pPr>
        <w:pStyle w:val="Nagwek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16"/>
          <w:szCs w:val="18"/>
        </w:rPr>
        <w:tab/>
      </w:r>
    </w:p>
    <w:sectPr w:rsidR="0078536B" w:rsidRPr="003335BC" w:rsidSect="00D129A1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703AB" w14:textId="77777777" w:rsidR="00311D85" w:rsidRDefault="00311D85" w:rsidP="009D3A33">
      <w:pPr>
        <w:spacing w:after="0" w:line="240" w:lineRule="auto"/>
      </w:pPr>
      <w:r>
        <w:separator/>
      </w:r>
    </w:p>
  </w:endnote>
  <w:endnote w:type="continuationSeparator" w:id="0">
    <w:p w14:paraId="11AB8AE2" w14:textId="77777777" w:rsidR="00311D85" w:rsidRDefault="00311D85" w:rsidP="009D3A33">
      <w:pPr>
        <w:spacing w:after="0" w:line="240" w:lineRule="auto"/>
      </w:pPr>
      <w:r>
        <w:continuationSeparator/>
      </w:r>
    </w:p>
  </w:endnote>
  <w:endnote w:type="continuationNotice" w:id="1">
    <w:p w14:paraId="61780BAA" w14:textId="77777777" w:rsidR="00311D85" w:rsidRDefault="00311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D262" w14:textId="5A3CE167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9AF">
      <w:rPr>
        <w:noProof/>
      </w:rPr>
      <w:t>6</w:t>
    </w:r>
    <w:r>
      <w:fldChar w:fldCharType="end"/>
    </w:r>
  </w:p>
  <w:p w14:paraId="2F38BE63" w14:textId="77777777" w:rsidR="00D129A1" w:rsidRDefault="00D12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3FE9" w14:textId="6A9734F6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9AF">
      <w:rPr>
        <w:noProof/>
      </w:rPr>
      <w:t>1</w:t>
    </w:r>
    <w:r>
      <w:fldChar w:fldCharType="end"/>
    </w:r>
  </w:p>
  <w:p w14:paraId="401992E2" w14:textId="77777777" w:rsidR="00D129A1" w:rsidRDefault="00D12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B2EF" w14:textId="77777777" w:rsidR="00311D85" w:rsidRDefault="00311D85" w:rsidP="009D3A33">
      <w:pPr>
        <w:spacing w:after="0" w:line="240" w:lineRule="auto"/>
      </w:pPr>
      <w:r>
        <w:separator/>
      </w:r>
    </w:p>
  </w:footnote>
  <w:footnote w:type="continuationSeparator" w:id="0">
    <w:p w14:paraId="56B11C0C" w14:textId="77777777" w:rsidR="00311D85" w:rsidRDefault="00311D85" w:rsidP="009D3A33">
      <w:pPr>
        <w:spacing w:after="0" w:line="240" w:lineRule="auto"/>
      </w:pPr>
      <w:r>
        <w:continuationSeparator/>
      </w:r>
    </w:p>
  </w:footnote>
  <w:footnote w:type="continuationNotice" w:id="1">
    <w:p w14:paraId="530D9CF7" w14:textId="77777777" w:rsidR="00311D85" w:rsidRDefault="00311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B171F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  <w:p w14:paraId="08821878" w14:textId="669B2F3F" w:rsidR="00C71F55" w:rsidRPr="00FD7528" w:rsidRDefault="00C71F55" w:rsidP="00C71F55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</w:rPr>
      <w:t xml:space="preserve">Załącznik nr </w:t>
    </w:r>
    <w:r w:rsidR="002472BC">
      <w:rPr>
        <w:rFonts w:ascii="Calibri" w:hAnsi="Calibri" w:cs="Calibri"/>
        <w:sz w:val="16"/>
        <w:szCs w:val="16"/>
        <w:lang w:val="pl-PL"/>
      </w:rPr>
      <w:t>1</w:t>
    </w:r>
    <w:r w:rsidR="004B4EE2">
      <w:rPr>
        <w:rFonts w:ascii="Calibri" w:hAnsi="Calibri" w:cs="Calibri"/>
        <w:sz w:val="16"/>
        <w:szCs w:val="16"/>
        <w:lang w:val="pl-PL"/>
      </w:rPr>
      <w:t>7</w:t>
    </w:r>
  </w:p>
  <w:p w14:paraId="01F17130" w14:textId="46676113" w:rsidR="00C71F55" w:rsidRDefault="00C71F55" w:rsidP="00C71F55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do </w:t>
    </w:r>
    <w:bookmarkStart w:id="6" w:name="_Hlk148507111"/>
    <w:r w:rsidR="004B4EE2" w:rsidRPr="00FC3358">
      <w:rPr>
        <w:rFonts w:ascii="Calibri" w:hAnsi="Calibri" w:cs="Calibri"/>
        <w:sz w:val="16"/>
        <w:szCs w:val="16"/>
      </w:rPr>
      <w:t xml:space="preserve">Zasady wypełniania obowiązków informacyjnych w Banku Spółdzielczym w </w:t>
    </w:r>
    <w:bookmarkEnd w:id="6"/>
    <w:r w:rsidR="00FD775F" w:rsidRPr="00FD775F">
      <w:rPr>
        <w:rFonts w:ascii="Calibri" w:hAnsi="Calibri" w:cs="Calibri"/>
        <w:sz w:val="16"/>
        <w:szCs w:val="16"/>
      </w:rPr>
      <w:t>Legionowie</w:t>
    </w:r>
  </w:p>
  <w:p w14:paraId="0398035D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  <w:p w14:paraId="0DF07024" w14:textId="583B94DA" w:rsidR="00D129A1" w:rsidRPr="00723D1F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07F"/>
    <w:multiLevelType w:val="hybridMultilevel"/>
    <w:tmpl w:val="5BE005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61E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C64"/>
    <w:multiLevelType w:val="hybridMultilevel"/>
    <w:tmpl w:val="3842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CBD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637"/>
    <w:multiLevelType w:val="hybridMultilevel"/>
    <w:tmpl w:val="4E50CAB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1ADD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322C"/>
    <w:multiLevelType w:val="hybridMultilevel"/>
    <w:tmpl w:val="EFBA3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7192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52E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7045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512DC"/>
    <w:multiLevelType w:val="hybridMultilevel"/>
    <w:tmpl w:val="68DAF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64E49"/>
    <w:multiLevelType w:val="hybridMultilevel"/>
    <w:tmpl w:val="FAF298FA"/>
    <w:lvl w:ilvl="0" w:tplc="9D6CDD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D3908"/>
    <w:multiLevelType w:val="hybridMultilevel"/>
    <w:tmpl w:val="5BA2F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F48F0"/>
    <w:multiLevelType w:val="hybridMultilevel"/>
    <w:tmpl w:val="B67C4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A747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B1BFC"/>
    <w:multiLevelType w:val="hybridMultilevel"/>
    <w:tmpl w:val="9B78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74F3B"/>
    <w:multiLevelType w:val="hybridMultilevel"/>
    <w:tmpl w:val="A9FA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61FBA"/>
    <w:multiLevelType w:val="hybridMultilevel"/>
    <w:tmpl w:val="9BF80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B11BE"/>
    <w:multiLevelType w:val="hybridMultilevel"/>
    <w:tmpl w:val="D694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905681">
    <w:abstractNumId w:val="13"/>
  </w:num>
  <w:num w:numId="2" w16cid:durableId="574974879">
    <w:abstractNumId w:val="0"/>
  </w:num>
  <w:num w:numId="3" w16cid:durableId="910389383">
    <w:abstractNumId w:val="14"/>
  </w:num>
  <w:num w:numId="4" w16cid:durableId="1279337167">
    <w:abstractNumId w:val="3"/>
  </w:num>
  <w:num w:numId="5" w16cid:durableId="1822118485">
    <w:abstractNumId w:val="10"/>
  </w:num>
  <w:num w:numId="6" w16cid:durableId="546382218">
    <w:abstractNumId w:val="11"/>
  </w:num>
  <w:num w:numId="7" w16cid:durableId="1154645055">
    <w:abstractNumId w:val="7"/>
  </w:num>
  <w:num w:numId="8" w16cid:durableId="668604381">
    <w:abstractNumId w:val="20"/>
  </w:num>
  <w:num w:numId="9" w16cid:durableId="514924190">
    <w:abstractNumId w:val="19"/>
  </w:num>
  <w:num w:numId="10" w16cid:durableId="1519083582">
    <w:abstractNumId w:val="6"/>
  </w:num>
  <w:num w:numId="11" w16cid:durableId="524096765">
    <w:abstractNumId w:val="9"/>
  </w:num>
  <w:num w:numId="12" w16cid:durableId="605818795">
    <w:abstractNumId w:val="2"/>
  </w:num>
  <w:num w:numId="13" w16cid:durableId="1226181268">
    <w:abstractNumId w:val="4"/>
  </w:num>
  <w:num w:numId="14" w16cid:durableId="1259409990">
    <w:abstractNumId w:val="5"/>
  </w:num>
  <w:num w:numId="15" w16cid:durableId="1453331020">
    <w:abstractNumId w:val="1"/>
  </w:num>
  <w:num w:numId="16" w16cid:durableId="1567838994">
    <w:abstractNumId w:val="22"/>
  </w:num>
  <w:num w:numId="17" w16cid:durableId="179203420">
    <w:abstractNumId w:val="8"/>
  </w:num>
  <w:num w:numId="18" w16cid:durableId="10052870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1791097">
    <w:abstractNumId w:val="18"/>
  </w:num>
  <w:num w:numId="20" w16cid:durableId="858199715">
    <w:abstractNumId w:val="21"/>
  </w:num>
  <w:num w:numId="21" w16cid:durableId="1387293514">
    <w:abstractNumId w:val="12"/>
  </w:num>
  <w:num w:numId="22" w16cid:durableId="268051153">
    <w:abstractNumId w:val="16"/>
  </w:num>
  <w:num w:numId="23" w16cid:durableId="695275719">
    <w:abstractNumId w:val="15"/>
  </w:num>
  <w:num w:numId="24" w16cid:durableId="760763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33"/>
    <w:rsid w:val="00007A10"/>
    <w:rsid w:val="00010DFC"/>
    <w:rsid w:val="000157AC"/>
    <w:rsid w:val="00020940"/>
    <w:rsid w:val="0002248E"/>
    <w:rsid w:val="00027D1E"/>
    <w:rsid w:val="00031B64"/>
    <w:rsid w:val="00043996"/>
    <w:rsid w:val="0004518F"/>
    <w:rsid w:val="00051C4D"/>
    <w:rsid w:val="00052CD9"/>
    <w:rsid w:val="00073F8A"/>
    <w:rsid w:val="0008539B"/>
    <w:rsid w:val="0008689D"/>
    <w:rsid w:val="00091C94"/>
    <w:rsid w:val="000D4B83"/>
    <w:rsid w:val="000D67A0"/>
    <w:rsid w:val="000D7C2E"/>
    <w:rsid w:val="000E2035"/>
    <w:rsid w:val="000F1C1D"/>
    <w:rsid w:val="0010024B"/>
    <w:rsid w:val="001035AE"/>
    <w:rsid w:val="00111504"/>
    <w:rsid w:val="001175C1"/>
    <w:rsid w:val="00124730"/>
    <w:rsid w:val="00126697"/>
    <w:rsid w:val="00130211"/>
    <w:rsid w:val="00140A39"/>
    <w:rsid w:val="0015272A"/>
    <w:rsid w:val="001543DA"/>
    <w:rsid w:val="00160BE9"/>
    <w:rsid w:val="0016115D"/>
    <w:rsid w:val="00183E0F"/>
    <w:rsid w:val="00197CD6"/>
    <w:rsid w:val="001A77F4"/>
    <w:rsid w:val="001C5187"/>
    <w:rsid w:val="001D59FE"/>
    <w:rsid w:val="00211A88"/>
    <w:rsid w:val="00226730"/>
    <w:rsid w:val="002472BC"/>
    <w:rsid w:val="00257EEA"/>
    <w:rsid w:val="002742B4"/>
    <w:rsid w:val="00282A43"/>
    <w:rsid w:val="00285902"/>
    <w:rsid w:val="002905A1"/>
    <w:rsid w:val="002912E7"/>
    <w:rsid w:val="002A09CD"/>
    <w:rsid w:val="002A7989"/>
    <w:rsid w:val="002C48BE"/>
    <w:rsid w:val="002D6B31"/>
    <w:rsid w:val="002F22B1"/>
    <w:rsid w:val="002F332D"/>
    <w:rsid w:val="002F74CD"/>
    <w:rsid w:val="0030187E"/>
    <w:rsid w:val="00311D85"/>
    <w:rsid w:val="003206D6"/>
    <w:rsid w:val="00321069"/>
    <w:rsid w:val="00323FDF"/>
    <w:rsid w:val="00351813"/>
    <w:rsid w:val="00351E11"/>
    <w:rsid w:val="003533E3"/>
    <w:rsid w:val="00361427"/>
    <w:rsid w:val="003644D5"/>
    <w:rsid w:val="00376372"/>
    <w:rsid w:val="0041189A"/>
    <w:rsid w:val="0041673D"/>
    <w:rsid w:val="004266D3"/>
    <w:rsid w:val="00445A08"/>
    <w:rsid w:val="00464B15"/>
    <w:rsid w:val="00465D63"/>
    <w:rsid w:val="00477159"/>
    <w:rsid w:val="004857D0"/>
    <w:rsid w:val="00486C94"/>
    <w:rsid w:val="004B4EE2"/>
    <w:rsid w:val="004D00B1"/>
    <w:rsid w:val="004E2D3E"/>
    <w:rsid w:val="004F3031"/>
    <w:rsid w:val="004F45F2"/>
    <w:rsid w:val="004F4940"/>
    <w:rsid w:val="00503A51"/>
    <w:rsid w:val="0053024E"/>
    <w:rsid w:val="00546B35"/>
    <w:rsid w:val="005501FD"/>
    <w:rsid w:val="005523FF"/>
    <w:rsid w:val="00555A5A"/>
    <w:rsid w:val="005605B9"/>
    <w:rsid w:val="00571277"/>
    <w:rsid w:val="005743FB"/>
    <w:rsid w:val="00582829"/>
    <w:rsid w:val="00591F03"/>
    <w:rsid w:val="005923EA"/>
    <w:rsid w:val="00592D56"/>
    <w:rsid w:val="0059453A"/>
    <w:rsid w:val="005B00D2"/>
    <w:rsid w:val="005B0ED1"/>
    <w:rsid w:val="005C0D06"/>
    <w:rsid w:val="005D6AB7"/>
    <w:rsid w:val="005E010D"/>
    <w:rsid w:val="005F34AD"/>
    <w:rsid w:val="006263BF"/>
    <w:rsid w:val="006578B1"/>
    <w:rsid w:val="00664CCC"/>
    <w:rsid w:val="00674EB7"/>
    <w:rsid w:val="006B3AA4"/>
    <w:rsid w:val="006E0E90"/>
    <w:rsid w:val="006E31EB"/>
    <w:rsid w:val="006E528B"/>
    <w:rsid w:val="006F17E2"/>
    <w:rsid w:val="00710B02"/>
    <w:rsid w:val="007111AF"/>
    <w:rsid w:val="00736659"/>
    <w:rsid w:val="00741437"/>
    <w:rsid w:val="00751A51"/>
    <w:rsid w:val="00761A24"/>
    <w:rsid w:val="00763AC3"/>
    <w:rsid w:val="00764B9C"/>
    <w:rsid w:val="00765996"/>
    <w:rsid w:val="007667E0"/>
    <w:rsid w:val="00770501"/>
    <w:rsid w:val="0078536B"/>
    <w:rsid w:val="007A3D4A"/>
    <w:rsid w:val="007A4479"/>
    <w:rsid w:val="007A6EA7"/>
    <w:rsid w:val="007A79E8"/>
    <w:rsid w:val="007B1C2B"/>
    <w:rsid w:val="007B5022"/>
    <w:rsid w:val="007C2108"/>
    <w:rsid w:val="007C7D3E"/>
    <w:rsid w:val="007E6C39"/>
    <w:rsid w:val="007F18EE"/>
    <w:rsid w:val="007F2913"/>
    <w:rsid w:val="007F4B7C"/>
    <w:rsid w:val="007F7D4C"/>
    <w:rsid w:val="00804024"/>
    <w:rsid w:val="008122F8"/>
    <w:rsid w:val="0081767C"/>
    <w:rsid w:val="00821730"/>
    <w:rsid w:val="00834C3D"/>
    <w:rsid w:val="008358D2"/>
    <w:rsid w:val="0084526B"/>
    <w:rsid w:val="00855236"/>
    <w:rsid w:val="008557E9"/>
    <w:rsid w:val="008578C1"/>
    <w:rsid w:val="00875C93"/>
    <w:rsid w:val="008C1C3A"/>
    <w:rsid w:val="008E0680"/>
    <w:rsid w:val="008F018D"/>
    <w:rsid w:val="00902BF3"/>
    <w:rsid w:val="009109B7"/>
    <w:rsid w:val="0091511A"/>
    <w:rsid w:val="00916259"/>
    <w:rsid w:val="009355BC"/>
    <w:rsid w:val="00936ED7"/>
    <w:rsid w:val="00944A6C"/>
    <w:rsid w:val="00956457"/>
    <w:rsid w:val="00957E76"/>
    <w:rsid w:val="009659D3"/>
    <w:rsid w:val="00974B75"/>
    <w:rsid w:val="00981ABD"/>
    <w:rsid w:val="00981CAE"/>
    <w:rsid w:val="009A1BCB"/>
    <w:rsid w:val="009A6934"/>
    <w:rsid w:val="009B7CD5"/>
    <w:rsid w:val="009C0A0C"/>
    <w:rsid w:val="009C6204"/>
    <w:rsid w:val="009D3A33"/>
    <w:rsid w:val="009D44DE"/>
    <w:rsid w:val="009D6D9F"/>
    <w:rsid w:val="009E0709"/>
    <w:rsid w:val="009E464F"/>
    <w:rsid w:val="009E6B53"/>
    <w:rsid w:val="00A03B56"/>
    <w:rsid w:val="00A05755"/>
    <w:rsid w:val="00A14216"/>
    <w:rsid w:val="00A30DB4"/>
    <w:rsid w:val="00A33DAA"/>
    <w:rsid w:val="00A42BEB"/>
    <w:rsid w:val="00A62DDD"/>
    <w:rsid w:val="00A6737D"/>
    <w:rsid w:val="00A7240A"/>
    <w:rsid w:val="00A752B7"/>
    <w:rsid w:val="00A85B36"/>
    <w:rsid w:val="00AA7B1F"/>
    <w:rsid w:val="00AC54D0"/>
    <w:rsid w:val="00AC7109"/>
    <w:rsid w:val="00AD0F84"/>
    <w:rsid w:val="00AD791A"/>
    <w:rsid w:val="00AE5142"/>
    <w:rsid w:val="00AF03A8"/>
    <w:rsid w:val="00AF094A"/>
    <w:rsid w:val="00B06D5E"/>
    <w:rsid w:val="00B1528C"/>
    <w:rsid w:val="00B1693A"/>
    <w:rsid w:val="00B219F6"/>
    <w:rsid w:val="00B24282"/>
    <w:rsid w:val="00B32674"/>
    <w:rsid w:val="00B479AF"/>
    <w:rsid w:val="00B517D5"/>
    <w:rsid w:val="00B669C8"/>
    <w:rsid w:val="00B92E73"/>
    <w:rsid w:val="00BA19E9"/>
    <w:rsid w:val="00BA70A0"/>
    <w:rsid w:val="00BC5C0A"/>
    <w:rsid w:val="00BD0521"/>
    <w:rsid w:val="00BE0477"/>
    <w:rsid w:val="00BE329E"/>
    <w:rsid w:val="00BF5A70"/>
    <w:rsid w:val="00BF78F4"/>
    <w:rsid w:val="00C01BC8"/>
    <w:rsid w:val="00C05FE9"/>
    <w:rsid w:val="00C10B11"/>
    <w:rsid w:val="00C35DCC"/>
    <w:rsid w:val="00C47B0E"/>
    <w:rsid w:val="00C5465A"/>
    <w:rsid w:val="00C71F55"/>
    <w:rsid w:val="00C75FF7"/>
    <w:rsid w:val="00C85A2C"/>
    <w:rsid w:val="00C85CCC"/>
    <w:rsid w:val="00C9490F"/>
    <w:rsid w:val="00CF1CAE"/>
    <w:rsid w:val="00CF3863"/>
    <w:rsid w:val="00CF79B3"/>
    <w:rsid w:val="00D129A1"/>
    <w:rsid w:val="00D13639"/>
    <w:rsid w:val="00D20519"/>
    <w:rsid w:val="00D422B6"/>
    <w:rsid w:val="00D44736"/>
    <w:rsid w:val="00D46CA4"/>
    <w:rsid w:val="00D57330"/>
    <w:rsid w:val="00D61B82"/>
    <w:rsid w:val="00D7587E"/>
    <w:rsid w:val="00DA16FD"/>
    <w:rsid w:val="00DA7E12"/>
    <w:rsid w:val="00DB1541"/>
    <w:rsid w:val="00DE25C5"/>
    <w:rsid w:val="00DE7B87"/>
    <w:rsid w:val="00DF1420"/>
    <w:rsid w:val="00E0065D"/>
    <w:rsid w:val="00E04B57"/>
    <w:rsid w:val="00E16CC5"/>
    <w:rsid w:val="00E27337"/>
    <w:rsid w:val="00E32E72"/>
    <w:rsid w:val="00E45B59"/>
    <w:rsid w:val="00E536A6"/>
    <w:rsid w:val="00E56839"/>
    <w:rsid w:val="00E603D3"/>
    <w:rsid w:val="00E72656"/>
    <w:rsid w:val="00E74729"/>
    <w:rsid w:val="00E803D2"/>
    <w:rsid w:val="00EA1E40"/>
    <w:rsid w:val="00ED12AA"/>
    <w:rsid w:val="00EF5A07"/>
    <w:rsid w:val="00F04017"/>
    <w:rsid w:val="00F157BB"/>
    <w:rsid w:val="00F227B7"/>
    <w:rsid w:val="00F22E5A"/>
    <w:rsid w:val="00F3032D"/>
    <w:rsid w:val="00F41F27"/>
    <w:rsid w:val="00F55011"/>
    <w:rsid w:val="00F61B62"/>
    <w:rsid w:val="00F62A56"/>
    <w:rsid w:val="00F736EA"/>
    <w:rsid w:val="00F74ED7"/>
    <w:rsid w:val="00F80BE1"/>
    <w:rsid w:val="00F85A66"/>
    <w:rsid w:val="00F9486A"/>
    <w:rsid w:val="00FA1AD8"/>
    <w:rsid w:val="00FB5614"/>
    <w:rsid w:val="00FC5AD8"/>
    <w:rsid w:val="00FD7528"/>
    <w:rsid w:val="00FD775F"/>
    <w:rsid w:val="00FE3365"/>
    <w:rsid w:val="00FE61C2"/>
    <w:rsid w:val="00FF147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2F7"/>
  <w15:docId w15:val="{85F675E1-ECEF-40A1-9E30-724CDF0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9D3A33"/>
    <w:rPr>
      <w:sz w:val="16"/>
      <w:szCs w:val="16"/>
    </w:rPr>
  </w:style>
  <w:style w:type="paragraph" w:customStyle="1" w:styleId="Tekstpodstawowy21">
    <w:name w:val="Tekst podstawowy 21"/>
    <w:basedOn w:val="Normalny"/>
    <w:rsid w:val="009D3A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D3A3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A3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A3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A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A3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D3A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3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142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142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518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78536B"/>
    <w:pPr>
      <w:spacing w:before="60" w:after="60" w:line="240" w:lineRule="auto"/>
      <w:ind w:left="2124" w:hanging="212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853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536B"/>
    <w:pPr>
      <w:spacing w:after="0" w:line="240" w:lineRule="auto"/>
      <w:ind w:left="720"/>
      <w:contextualSpacing/>
    </w:pPr>
    <w:rPr>
      <w:rFonts w:ascii="Arial" w:hAnsi="Arial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i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5B04-A0DA-41A1-9D14-295C5783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Narloch Anna</dc:creator>
  <cp:lastModifiedBy>Sylwester Piwka</cp:lastModifiedBy>
  <cp:revision>7</cp:revision>
  <dcterms:created xsi:type="dcterms:W3CDTF">2022-09-29T08:30:00Z</dcterms:created>
  <dcterms:modified xsi:type="dcterms:W3CDTF">2024-05-27T07:34:00Z</dcterms:modified>
</cp:coreProperties>
</file>